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F342">
      <w:pPr>
        <w:pStyle w:val="286"/>
      </w:pPr>
      <w:bookmarkStart w:id="0" w:name="标准封面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276225</wp:posOffset>
                </wp:positionV>
                <wp:extent cx="3960495" cy="9779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CE0FE">
                            <w:pPr>
                              <w:pStyle w:val="250"/>
                            </w:pPr>
                            <w:r>
                              <w:rPr>
                                <w:rFonts w:hint="eastAsia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21.75pt;height:77pt;width:311.85pt;z-index:251660288;mso-width-relative:page;mso-height-relative:page;" fillcolor="#FFFFFF [3201]" filled="t" stroked="f" coordsize="21600,21600" o:gfxdata="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w3Zt2wAAAAoBAAAPAAAAAAAAAAEAIAAAACIAAABkcnMvZG93bnJldi54bWxQSwECFAAU&#10;AAAACACHTuJATG1dQ2ACAACLBAAADgAAAAAAAAABACAAAAAq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2A7CE0FE">
                      <w:pPr>
                        <w:pStyle w:val="250"/>
                      </w:pPr>
                      <w:r>
                        <w:rPr>
                          <w:rFonts w:hint="eastAsia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37C4A">
                            <w:pPr>
                              <w:pStyle w:val="333"/>
                            </w:pPr>
                            <w:r>
                              <w:rPr>
                                <w:rFonts w:hint="eastAsia"/>
                              </w:rPr>
                              <w:t>ICS 11.040.01</w:t>
                            </w:r>
                          </w:p>
                          <w:p w14:paraId="5B76795B">
                            <w:pPr>
                              <w:pStyle w:val="333"/>
                            </w:pPr>
                            <w:r>
                              <w:rPr>
                                <w:rFonts w:hint="eastAsia"/>
                              </w:rPr>
                              <w:t>CCS C31</w:t>
                            </w:r>
                          </w:p>
                          <w:p w14:paraId="2D8EB0AD">
                            <w:pPr>
                              <w:pStyle w:val="333"/>
                            </w:pPr>
                          </w:p>
                          <w:p w14:paraId="584A8503">
                            <w:pPr>
                              <w:pStyle w:val="333"/>
                            </w:pPr>
                          </w:p>
                          <w:p w14:paraId="261913EB">
                            <w:pPr>
                              <w:pStyle w:val="3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3337C4A">
                      <w:pPr>
                        <w:pStyle w:val="333"/>
                      </w:pPr>
                      <w:r>
                        <w:rPr>
                          <w:rFonts w:hint="eastAsia"/>
                        </w:rPr>
                        <w:t>ICS 11.040.01</w:t>
                      </w:r>
                    </w:p>
                    <w:p w14:paraId="5B76795B">
                      <w:pPr>
                        <w:pStyle w:val="333"/>
                      </w:pPr>
                      <w:r>
                        <w:rPr>
                          <w:rFonts w:hint="eastAsia"/>
                        </w:rPr>
                        <w:t>CCS C31</w:t>
                      </w:r>
                    </w:p>
                    <w:p w14:paraId="2D8EB0AD">
                      <w:pPr>
                        <w:pStyle w:val="333"/>
                      </w:pPr>
                    </w:p>
                    <w:p w14:paraId="584A8503">
                      <w:pPr>
                        <w:pStyle w:val="333"/>
                      </w:pPr>
                    </w:p>
                    <w:p w14:paraId="261913EB">
                      <w:pPr>
                        <w:pStyle w:val="333"/>
                      </w:pPr>
                    </w:p>
                  </w:txbxContent>
                </v:textbox>
              </v:shape>
            </w:pict>
          </mc:Fallback>
        </mc:AlternateContent>
      </w:r>
    </w:p>
    <w:p w14:paraId="51F30CC7">
      <w:pPr>
        <w:pStyle w:val="259"/>
        <w:ind w:firstLine="42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94CEC">
                            <w:pPr>
                              <w:pStyle w:val="334"/>
                              <w:rPr>
                                <w:rFonts w:hint="default"/>
                              </w:rPr>
                            </w:pPr>
                            <w: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A2wjXl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G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DbCNeV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AD94CEC">
                      <w:pPr>
                        <w:pStyle w:val="334"/>
                        <w:rPr>
                          <w:rFonts w:hint="default"/>
                        </w:rPr>
                      </w:pPr>
                      <w: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45F5DF80">
      <w:pPr>
        <w:pStyle w:val="259"/>
        <w:ind w:firstLine="420"/>
      </w:pPr>
    </w:p>
    <w:p w14:paraId="558DA68F">
      <w:pPr>
        <w:pStyle w:val="259"/>
        <w:ind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pgNumType w:fmt="upperRoman" w:start="1"/>
          <w:cols w:space="425" w:num="1"/>
          <w:titlePg/>
          <w:docGrid w:linePitch="312" w:charSpace="0"/>
        </w:sectPr>
      </w:pPr>
      <w:bookmarkStart w:id="3" w:name="_GoBack"/>
      <w:bookmarkEnd w:id="3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4627880</wp:posOffset>
                </wp:positionH>
                <wp:positionV relativeFrom="page">
                  <wp:posOffset>9535160</wp:posOffset>
                </wp:positionV>
                <wp:extent cx="899795" cy="184150"/>
                <wp:effectExtent l="0" t="0" r="0" b="635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BEA6">
                            <w:pPr>
                              <w:pStyle w:val="335"/>
                            </w:pPr>
                            <w:r>
                              <w:rPr>
                                <w:rFonts w:hint="eastAsia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64.4pt;margin-top:750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RobCr2wAA&#10;AA0BAAAPAAAAAAAAAAEAIAAAACIAAABkcnMvZG93bnJldi54bWxQSwECFAAUAAAACACHTuJAXBvh&#10;slQCAACFBAAADgAAAAAAAAABACAAAAAq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1376BEA6">
                      <w:pPr>
                        <w:pStyle w:val="335"/>
                      </w:pPr>
                      <w:r>
                        <w:rPr>
                          <w:rFonts w:hint="eastAsia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ge">
                  <wp:posOffset>9528810</wp:posOffset>
                </wp:positionV>
                <wp:extent cx="2071370" cy="234950"/>
                <wp:effectExtent l="0" t="0" r="4445" b="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AA28B">
                            <w:pPr>
                              <w:pStyle w:val="340"/>
                              <w:rPr>
                                <w:rFonts w:hint="default"/>
                              </w:rPr>
                            </w:pPr>
                            <w: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68.6pt;margin-top:750.3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71X2vaAAAA&#10;DQEAAA8AAAAAAAAAAQAgAAAAIgAAAGRycy9kb3ducmV2LnhtbFBLAQIUABQAAAAIAIdO4kCBg/KJ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A6AA28B">
                      <w:pPr>
                        <w:pStyle w:val="340"/>
                        <w:rPr>
                          <w:rFonts w:hint="default"/>
                        </w:rPr>
                      </w:pPr>
                      <w: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2E2CE">
                            <w:pPr>
                              <w:pStyle w:val="291"/>
                            </w:pPr>
                            <w:r>
                              <w:rPr>
                                <w:rFonts w:hint="eastAsia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2162E2CE">
                      <w:pPr>
                        <w:pStyle w:val="291"/>
                      </w:pPr>
                      <w:r>
                        <w:rPr>
                          <w:rFonts w:hint="eastAsia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87A57">
                            <w:pPr>
                              <w:pStyle w:val="265"/>
                            </w:pPr>
                            <w:r>
                              <w:rPr>
                                <w:rFonts w:hint="eastAsia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4387A57">
                      <w:pPr>
                        <w:pStyle w:val="265"/>
                      </w:pPr>
                      <w:r>
                        <w:rPr>
                          <w:rFonts w:hint="eastAsia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8BFCE">
                            <w:pPr>
                              <w:pStyle w:val="269"/>
                            </w:pPr>
                            <w:r>
                              <w:rPr>
                                <w:rFonts w:hint="eastAsia"/>
                              </w:rPr>
                              <w:t>标准名称</w:t>
                            </w:r>
                          </w:p>
                          <w:p w14:paraId="0108946A">
                            <w:pPr>
                              <w:pStyle w:val="272"/>
                            </w:pPr>
                            <w:r>
                              <w:rPr>
                                <w:rFonts w:hint="eastAsia"/>
                              </w:rPr>
                              <w:t>英文名称</w:t>
                            </w:r>
                          </w:p>
                          <w:p w14:paraId="6FC3DDC8">
                            <w:pPr>
                              <w:pStyle w:val="273"/>
                            </w:pPr>
                            <w:r>
                              <w:rPr>
                                <w:rFonts w:hint="eastAsia"/>
                              </w:rPr>
                              <w:t>（与国际标准一致性程度的标识）</w:t>
                            </w:r>
                          </w:p>
                          <w:p w14:paraId="3C7D279D">
                            <w:pPr>
                              <w:pStyle w:val="273"/>
                            </w:pPr>
                            <w:r>
                              <w:rPr>
                                <w:rFonts w:hint="eastAsia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5B8BFCE">
                      <w:pPr>
                        <w:pStyle w:val="269"/>
                      </w:pPr>
                      <w:r>
                        <w:rPr>
                          <w:rFonts w:hint="eastAsia"/>
                        </w:rPr>
                        <w:t>标准名称</w:t>
                      </w:r>
                    </w:p>
                    <w:p w14:paraId="0108946A">
                      <w:pPr>
                        <w:pStyle w:val="272"/>
                      </w:pPr>
                      <w:r>
                        <w:rPr>
                          <w:rFonts w:hint="eastAsia"/>
                        </w:rPr>
                        <w:t>英文名称</w:t>
                      </w:r>
                    </w:p>
                    <w:p w14:paraId="6FC3DDC8">
                      <w:pPr>
                        <w:pStyle w:val="273"/>
                      </w:pPr>
                      <w:r>
                        <w:rPr>
                          <w:rFonts w:hint="eastAsia"/>
                        </w:rPr>
                        <w:t>（与国际标准一致性程度的标识）</w:t>
                      </w:r>
                    </w:p>
                    <w:p w14:paraId="3C7D279D">
                      <w:pPr>
                        <w:pStyle w:val="273"/>
                      </w:pPr>
                      <w:r>
                        <w:rPr>
                          <w:rFonts w:hint="eastAsia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+UK8U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DE099">
                            <w:pPr>
                              <w:pStyle w:val="266"/>
                            </w:pPr>
                            <w:r>
                              <w:rPr>
                                <w:rFonts w:hint="eastAsia"/>
                              </w:rPr>
                              <w:t>YY</w:t>
                            </w:r>
                          </w:p>
                          <w:p w14:paraId="3470BDFA">
                            <w:pPr>
                              <w:pStyle w:val="26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TSP31F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CCDE099">
                      <w:pPr>
                        <w:pStyle w:val="266"/>
                      </w:pPr>
                      <w:r>
                        <w:rPr>
                          <w:rFonts w:hint="eastAsia"/>
                        </w:rPr>
                        <w:t>YY</w:t>
                      </w:r>
                    </w:p>
                    <w:p w14:paraId="3470BDFA">
                      <w:pPr>
                        <w:pStyle w:val="268"/>
                      </w:pPr>
                    </w:p>
                  </w:txbxContent>
                </v:textbox>
              </v:shape>
            </w:pict>
          </mc:Fallback>
        </mc:AlternateContent>
      </w:r>
    </w:p>
    <w:p w14:paraId="541CDD95">
      <w:pPr>
        <w:pStyle w:val="257"/>
      </w:pPr>
      <w:bookmarkStart w:id="1" w:name="标准前言"/>
      <w:bookmarkEnd w:id="1"/>
      <w:r>
        <w:rPr>
          <w:rFonts w:hint="eastAsia"/>
        </w:rPr>
        <w:t>前    言</w:t>
      </w:r>
    </w:p>
    <w:p w14:paraId="6D3FD465">
      <w:pPr>
        <w:pStyle w:val="497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37728450">
      <w:pPr>
        <w:pStyle w:val="497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2437B92C">
      <w:pPr>
        <w:pStyle w:val="497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53A2B91E">
      <w:pPr>
        <w:pStyle w:val="497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  <w:lang w:val="en-US" w:eastAsia="zh-CN"/>
        </w:rPr>
      </w:pPr>
    </w:p>
    <w:p w14:paraId="4C9A483D">
      <w:pPr>
        <w:pStyle w:val="497"/>
        <w:spacing w:line="240" w:lineRule="auto"/>
        <w:ind w:firstLine="0"/>
        <w:rPr>
          <w:rFonts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208CA261">
      <w:pPr>
        <w:pStyle w:val="498"/>
        <w:ind w:firstLine="420"/>
        <w:rPr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 w14:paraId="3B3B3E57">
      <w:pPr>
        <w:pStyle w:val="498"/>
        <w:ind w:firstLine="420"/>
        <w:rPr>
          <w:szCs w:val="21"/>
        </w:rPr>
      </w:pPr>
      <w:r>
        <w:rPr>
          <w:rFonts w:hint="eastAsia"/>
          <w:szCs w:val="21"/>
        </w:rPr>
        <w:t>本文件由全国外科器械标准化技术委员会归口（SAC/TC94）</w:t>
      </w:r>
    </w:p>
    <w:p w14:paraId="09D747DE">
      <w:pPr>
        <w:pStyle w:val="497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61FE467C">
      <w:pPr>
        <w:ind w:firstLine="420" w:firstLineChars="200"/>
      </w:pPr>
      <w:r>
        <w:rPr>
          <w:szCs w:val="21"/>
          <w:lang w:val="zh-TW" w:bidi="zh-TW"/>
        </w:rPr>
        <w:t>——</w:t>
      </w:r>
    </w:p>
    <w:p w14:paraId="7999210A"/>
    <w:p w14:paraId="54576067">
      <w:pPr>
        <w:pStyle w:val="259"/>
        <w:ind w:firstLine="420"/>
      </w:pPr>
    </w:p>
    <w:p w14:paraId="4270C693">
      <w:pPr>
        <w:pStyle w:val="259"/>
        <w:ind w:firstLine="420"/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pgNumType w:fmt="upperRoman" w:start="1"/>
          <w:cols w:space="425" w:num="1"/>
          <w:docGrid w:linePitch="312" w:charSpace="0"/>
        </w:sectPr>
      </w:pPr>
    </w:p>
    <w:p w14:paraId="47C8933E">
      <w:pPr>
        <w:pStyle w:val="315"/>
      </w:pPr>
      <w:bookmarkStart w:id="2" w:name="标准内容"/>
      <w:bookmarkEnd w:id="2"/>
      <w:r>
        <w:rPr>
          <w:rFonts w:hint="eastAsia"/>
        </w:rPr>
        <w:t>标准名称</w:t>
      </w:r>
    </w:p>
    <w:p w14:paraId="4A1FC365">
      <w:pPr>
        <w:pStyle w:val="260"/>
        <w:spacing w:before="240" w:after="240"/>
      </w:pPr>
      <w:r>
        <w:rPr>
          <w:rFonts w:hint="eastAsia"/>
        </w:rPr>
        <w:t>范围</w:t>
      </w:r>
    </w:p>
    <w:p w14:paraId="4C8CE6FD">
      <w:pPr>
        <w:pStyle w:val="259"/>
        <w:ind w:firstLine="420"/>
      </w:pPr>
    </w:p>
    <w:p w14:paraId="63AD04DC">
      <w:pPr>
        <w:pStyle w:val="260"/>
        <w:spacing w:before="240" w:after="240"/>
      </w:pPr>
      <w:r>
        <w:rPr>
          <w:rFonts w:hint="eastAsia"/>
        </w:rPr>
        <w:t>规范性引用文件</w:t>
      </w:r>
    </w:p>
    <w:p w14:paraId="1CD2EFFE">
      <w:pPr>
        <w:pStyle w:val="259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4A35BA80">
      <w:pPr>
        <w:pStyle w:val="260"/>
        <w:spacing w:before="240" w:after="240"/>
      </w:pPr>
      <w:r>
        <w:rPr>
          <w:rFonts w:hint="eastAsia"/>
        </w:rPr>
        <w:t>术语</w:t>
      </w:r>
      <w:r>
        <w:t>和定义</w:t>
      </w:r>
    </w:p>
    <w:p w14:paraId="40D849F9">
      <w:pPr>
        <w:pStyle w:val="259"/>
        <w:ind w:firstLine="420"/>
      </w:pPr>
      <w:r>
        <w:rPr>
          <w:rFonts w:hint="eastAsia"/>
        </w:rPr>
        <w:t>下列术语和定义适用于本文件</w:t>
      </w:r>
    </w:p>
    <w:p w14:paraId="73734ABD">
      <w:pPr>
        <w:pStyle w:val="323"/>
      </w:pPr>
    </w:p>
    <w:p w14:paraId="79FC40F1">
      <w:pPr>
        <w:pStyle w:val="259"/>
        <w:ind w:firstLine="420"/>
      </w:pPr>
      <w:r>
        <w:rPr>
          <w:rFonts w:hint="eastAsia"/>
        </w:rPr>
        <w:t>XXXXX</w:t>
      </w:r>
    </w:p>
    <w:p w14:paraId="28019E67">
      <w:pPr>
        <w:pStyle w:val="323"/>
      </w:pPr>
    </w:p>
    <w:p w14:paraId="79F3E1DA">
      <w:pPr>
        <w:pStyle w:val="259"/>
        <w:ind w:firstLine="420"/>
      </w:pPr>
      <w:r>
        <w:rPr>
          <w:rFonts w:hint="eastAsia"/>
        </w:rPr>
        <w:t>XXXXX</w:t>
      </w:r>
    </w:p>
    <w:p w14:paraId="48A31297">
      <w:pPr>
        <w:pStyle w:val="323"/>
      </w:pPr>
    </w:p>
    <w:p w14:paraId="67294C8F">
      <w:pPr>
        <w:pStyle w:val="259"/>
        <w:ind w:firstLine="420"/>
      </w:pPr>
      <w:r>
        <w:rPr>
          <w:rFonts w:hint="eastAsia"/>
        </w:rPr>
        <w:t>XXXX</w:t>
      </w:r>
    </w:p>
    <w:p w14:paraId="102C37C5">
      <w:pPr>
        <w:pStyle w:val="323"/>
      </w:pPr>
    </w:p>
    <w:p w14:paraId="7227B5B9">
      <w:pPr>
        <w:pStyle w:val="259"/>
        <w:ind w:firstLine="420"/>
      </w:pPr>
    </w:p>
    <w:p w14:paraId="0A8AFA2E">
      <w:pPr>
        <w:pStyle w:val="323"/>
      </w:pPr>
    </w:p>
    <w:p w14:paraId="252FD4F3">
      <w:pPr>
        <w:pStyle w:val="323"/>
      </w:pPr>
    </w:p>
    <w:p w14:paraId="6F34B048">
      <w:pPr>
        <w:pStyle w:val="323"/>
      </w:pPr>
    </w:p>
    <w:p w14:paraId="7655C1B3">
      <w:pPr>
        <w:pStyle w:val="323"/>
      </w:pPr>
    </w:p>
    <w:p w14:paraId="5C7787DE">
      <w:pPr>
        <w:pStyle w:val="260"/>
        <w:spacing w:before="240" w:after="240"/>
      </w:pPr>
      <w:r>
        <w:rPr>
          <w:rFonts w:hint="eastAsia"/>
        </w:rPr>
        <w:t>Xxxx</w:t>
      </w:r>
    </w:p>
    <w:p w14:paraId="363375E0">
      <w:pPr>
        <w:pStyle w:val="261"/>
        <w:spacing w:before="120" w:after="120"/>
      </w:pPr>
    </w:p>
    <w:p w14:paraId="6A93D3AF">
      <w:pPr>
        <w:pStyle w:val="259"/>
        <w:ind w:firstLine="420"/>
      </w:pPr>
    </w:p>
    <w:p w14:paraId="218B8BC5">
      <w:pPr>
        <w:pStyle w:val="259"/>
        <w:ind w:firstLine="420"/>
      </w:pPr>
    </w:p>
    <w:p w14:paraId="1276C9AB">
      <w:pPr>
        <w:pStyle w:val="323"/>
        <w:numPr>
          <w:ilvl w:val="1"/>
          <w:numId w:val="0"/>
        </w:numPr>
      </w:pP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 xml:space="preserve">        </w:t>
      </w:r>
    </w:p>
    <w:p w14:paraId="1A21DB41">
      <w:pPr>
        <w:pStyle w:val="259"/>
        <w:ind w:firstLine="420"/>
      </w:pPr>
    </w:p>
    <w:p w14:paraId="01EDAD18">
      <w:pPr>
        <w:pStyle w:val="259"/>
        <w:ind w:firstLine="422"/>
        <w:jc w:val="center"/>
        <w:rPr>
          <w:rFonts w:hAnsi="宋体" w:cs="宋体"/>
        </w:rPr>
      </w:pPr>
      <w:r>
        <w:rPr>
          <w:rFonts w:hint="eastAsia" w:ascii="黑体" w:hAnsi="黑体" w:eastAsia="黑体" w:cs="黑体"/>
          <w:b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795E">
    <w:pPr>
      <w:pStyle w:val="253"/>
      <w:framePr w:wrap="around" w:vAnchor="text" w:hAnchor="margin" w:xAlign="outside" w:y="1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2FE18F2">
    <w:pPr>
      <w:pStyle w:val="253"/>
      <w:ind w:right="360" w:firstLine="36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C7B3">
    <w:pPr>
      <w:pStyle w:val="252"/>
      <w:framePr w:wrap="around" w:vAnchor="text" w:hAnchor="margin" w:xAlign="outside" w:y="1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7F914F3">
    <w:pPr>
      <w:pStyle w:val="252"/>
      <w:ind w:right="360" w:firstLine="36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F5542">
    <w:pPr>
      <w:pStyle w:val="5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12FA">
    <w:pPr>
      <w:pStyle w:val="253"/>
      <w:framePr w:wrap="around" w:vAnchor="text" w:hAnchor="margin" w:xAlign="outside" w:y="1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4F95201F">
    <w:pPr>
      <w:pStyle w:val="253"/>
      <w:ind w:right="360" w:firstLine="36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34D0">
    <w:pPr>
      <w:pStyle w:val="59"/>
      <w:framePr w:wrap="around" w:vAnchor="text" w:hAnchor="margin" w:xAlign="outside" w:y="1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62912466">
    <w:pPr>
      <w:pStyle w:val="59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4D86">
    <w:pPr>
      <w:pStyle w:val="59"/>
      <w:framePr w:wrap="around" w:vAnchor="text" w:hAnchor="margin" w:xAlign="outside" w:y="1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16CC5726">
    <w:pPr>
      <w:pStyle w:val="5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C3C64">
    <w:pPr>
      <w:pStyle w:val="254"/>
    </w:pPr>
    <w:r>
      <w:rPr>
        <w:rFonts w:hint="eastAsia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3B53">
    <w:pPr>
      <w:pStyle w:val="255"/>
    </w:pPr>
    <w:r>
      <w:rPr>
        <w:rFonts w:hint="eastAsia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EECB2">
    <w:pPr>
      <w:pStyle w:val="25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90B7C">
    <w:pPr>
      <w:pStyle w:val="254"/>
    </w:pPr>
    <w:r>
      <w:rPr>
        <w:rFonts w:hint="eastAsia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F6ADE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A658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6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4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OTQwMjllZDQzZjE3OWQxZjUxZjhlNTAzZGQ5MGE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2088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8F5507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0FF3E34"/>
    <w:rsid w:val="16D40834"/>
    <w:rsid w:val="1A9B0CE5"/>
    <w:rsid w:val="1E2E04FE"/>
    <w:rsid w:val="20D3029D"/>
    <w:rsid w:val="37D33C22"/>
    <w:rsid w:val="55E63752"/>
    <w:rsid w:val="59454C72"/>
    <w:rsid w:val="5CE01B92"/>
    <w:rsid w:val="6D6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autoRedefine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附录标识"/>
    <w:basedOn w:val="1"/>
    <w:next w:val="1"/>
    <w:qFormat/>
    <w:uiPriority w:val="0"/>
    <w:pPr>
      <w:keepNext/>
      <w:widowControl/>
      <w:numPr>
        <w:ilvl w:val="0"/>
        <w:numId w:val="1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50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1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2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4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5">
    <w:name w:val="标准书眉_偶数页"/>
    <w:basedOn w:val="254"/>
    <w:next w:val="1"/>
    <w:qFormat/>
    <w:uiPriority w:val="0"/>
    <w:pPr>
      <w:jc w:val="left"/>
    </w:pPr>
  </w:style>
  <w:style w:type="paragraph" w:customStyle="1" w:styleId="256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7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8">
    <w:name w:val="参考文献、索引标题"/>
    <w:basedOn w:val="257"/>
    <w:next w:val="1"/>
    <w:qFormat/>
    <w:uiPriority w:val="0"/>
    <w:pPr>
      <w:spacing w:after="200"/>
    </w:pPr>
    <w:rPr>
      <w:sz w:val="21"/>
    </w:rPr>
  </w:style>
  <w:style w:type="paragraph" w:customStyle="1" w:styleId="259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0">
    <w:name w:val="章标题"/>
    <w:next w:val="259"/>
    <w:qFormat/>
    <w:uiPriority w:val="0"/>
    <w:pPr>
      <w:numPr>
        <w:ilvl w:val="0"/>
        <w:numId w:val="1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1">
    <w:name w:val="一级条标题"/>
    <w:next w:val="259"/>
    <w:autoRedefine/>
    <w:qFormat/>
    <w:uiPriority w:val="0"/>
    <w:pPr>
      <w:numPr>
        <w:ilvl w:val="1"/>
        <w:numId w:val="1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2">
    <w:name w:val="二级条标题"/>
    <w:basedOn w:val="261"/>
    <w:next w:val="259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3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4">
    <w:name w:val="发布部门GB"/>
    <w:next w:val="259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5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6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7">
    <w:name w:val="封面标准号2"/>
    <w:basedOn w:val="266"/>
    <w:autoRedefine/>
    <w:qFormat/>
    <w:uiPriority w:val="0"/>
    <w:pPr>
      <w:adjustRightInd w:val="0"/>
      <w:spacing w:before="357" w:line="280" w:lineRule="exact"/>
    </w:pPr>
  </w:style>
  <w:style w:type="paragraph" w:customStyle="1" w:styleId="268">
    <w:name w:val="封面标准代替信息"/>
    <w:basedOn w:val="267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9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70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1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2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3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4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9"/>
    <w:qFormat/>
    <w:uiPriority w:val="0"/>
    <w:pPr>
      <w:numPr>
        <w:ilvl w:val="1"/>
        <w:numId w:val="11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9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9"/>
    <w:qFormat/>
    <w:uiPriority w:val="0"/>
    <w:pPr>
      <w:widowControl/>
      <w:numPr>
        <w:ilvl w:val="3"/>
        <w:numId w:val="11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9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9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9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7"/>
    <w:next w:val="259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4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2"/>
    <w:next w:val="259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5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9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9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9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9"/>
    <w:autoRedefine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9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9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9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9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9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9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9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7"/>
    <w:next w:val="259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9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9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2"/>
    <w:next w:val="259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9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autoRedefine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9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9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1"/>
    <w:next w:val="259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qFormat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2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4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9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9"/>
    <w:next w:val="259"/>
    <w:qFormat/>
    <w:uiPriority w:val="0"/>
    <w:rPr>
      <w:sz w:val="18"/>
    </w:rPr>
  </w:style>
  <w:style w:type="paragraph" w:customStyle="1" w:styleId="348">
    <w:name w:val="附录表标号"/>
    <w:basedOn w:val="1"/>
    <w:next w:val="259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9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9"/>
    <w:next w:val="259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不明显参考1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不明显强调1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明显参考1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明显强调1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autoRedefine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autoRedefine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autoRedefine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autoRedefine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qFormat/>
    <w:uiPriority w:val="52"/>
    <w:rPr>
      <w:color w:val="7C7C7C" w:themeColor="accent3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autoRedefine/>
    <w:qFormat/>
    <w:uiPriority w:val="52"/>
    <w:rPr>
      <w:color w:val="2F5597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书籍标题1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书目1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autoRedefine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autoRedefine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autoRedefine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autoRedefine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autoRedefine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spacing w:line="331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9FF4C-9663-4B6A-9D52-A85D1791E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317</Words>
  <Characters>367</Characters>
  <Lines>3</Lines>
  <Paragraphs>1</Paragraphs>
  <TotalTime>1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靓儿</cp:lastModifiedBy>
  <dcterms:modified xsi:type="dcterms:W3CDTF">2026-01-07T06:17:48Z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3DDE129419D548A8AE1B2D49599F0D8D_13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2052-12.1.0.24034</vt:lpwstr>
  </property>
  <property fmtid="{D5CDD505-2E9C-101B-9397-08002B2CF9AE}" pid="23" name="KSOTemplateDocerSaveRecord">
    <vt:lpwstr>eyJoZGlkIjoiZDA4M2Q1NDJkY2IyNTFiNTZkYTZmZDgyYzhiZDg4ZTgiLCJ1c2VySWQiOiIzMzI5NDA5In0=</vt:lpwstr>
  </property>
</Properties>
</file>